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3C" w:rsidRPr="0019713C" w:rsidRDefault="0019713C" w:rsidP="0019713C">
      <w:pPr>
        <w:spacing w:line="240" w:lineRule="auto"/>
        <w:outlineLvl w:val="0"/>
        <w:rPr>
          <w:rFonts w:ascii="Verdana" w:eastAsia="Times New Roman" w:hAnsi="Verdana" w:cs="Times New Roman"/>
          <w:b/>
          <w:color w:val="0F70BF"/>
          <w:kern w:val="36"/>
          <w:sz w:val="24"/>
          <w:szCs w:val="24"/>
          <w:lang/>
        </w:rPr>
      </w:pPr>
      <w:r w:rsidRPr="0019713C">
        <w:rPr>
          <w:rFonts w:ascii="Verdana" w:eastAsia="Times New Roman" w:hAnsi="Verdana" w:cs="Times New Roman"/>
          <w:b/>
          <w:color w:val="0F70BF"/>
          <w:kern w:val="36"/>
          <w:sz w:val="24"/>
          <w:szCs w:val="24"/>
          <w:lang/>
        </w:rPr>
        <w:t>The Exam</w:t>
      </w:r>
    </w:p>
    <w:p w:rsidR="0019713C" w:rsidRDefault="0019713C" w:rsidP="0019713C">
      <w:pPr>
        <w:spacing w:after="0" w:line="240" w:lineRule="auto"/>
        <w:outlineLvl w:val="2"/>
        <w:rPr>
          <w:rFonts w:ascii="Verdana" w:eastAsia="Times New Roman" w:hAnsi="Verdana" w:cs="Times New Roman"/>
          <w:b/>
          <w:bCs/>
          <w:color w:val="0F70BF"/>
          <w:sz w:val="24"/>
          <w:szCs w:val="24"/>
          <w:lang/>
        </w:rPr>
      </w:pPr>
      <w:r w:rsidRPr="0019713C">
        <w:rPr>
          <w:rFonts w:ascii="Verdana" w:eastAsia="Times New Roman" w:hAnsi="Verdana" w:cs="Times New Roman"/>
          <w:b/>
          <w:bCs/>
          <w:color w:val="0F70BF"/>
          <w:sz w:val="24"/>
          <w:szCs w:val="24"/>
          <w:lang/>
        </w:rPr>
        <w:t>About the Exam</w:t>
      </w:r>
    </w:p>
    <w:p w:rsidR="0019713C" w:rsidRPr="0019713C" w:rsidRDefault="0019713C" w:rsidP="0019713C">
      <w:pPr>
        <w:spacing w:after="0" w:line="240" w:lineRule="auto"/>
        <w:outlineLvl w:val="2"/>
        <w:rPr>
          <w:rFonts w:ascii="Verdana" w:eastAsia="Times New Roman" w:hAnsi="Verdana" w:cs="Times New Roman"/>
          <w:b/>
          <w:bCs/>
          <w:color w:val="0F70BF"/>
          <w:sz w:val="24"/>
          <w:szCs w:val="24"/>
          <w:lang/>
        </w:rPr>
      </w:pPr>
    </w:p>
    <w:p w:rsidR="0019713C" w:rsidRPr="0019713C" w:rsidRDefault="0019713C" w:rsidP="0019713C">
      <w:pPr>
        <w:spacing w:line="240" w:lineRule="auto"/>
        <w:rPr>
          <w:rFonts w:ascii="Verdana" w:eastAsia="Times New Roman" w:hAnsi="Verdana" w:cs="Times New Roman"/>
          <w:b/>
          <w:color w:val="000000"/>
          <w:sz w:val="24"/>
          <w:szCs w:val="24"/>
          <w:lang/>
        </w:rPr>
      </w:pPr>
      <w:r w:rsidRPr="0019713C">
        <w:rPr>
          <w:rFonts w:ascii="Verdana" w:eastAsia="Times New Roman" w:hAnsi="Verdana" w:cs="Times New Roman"/>
          <w:b/>
          <w:color w:val="000000"/>
          <w:sz w:val="24"/>
          <w:szCs w:val="24"/>
          <w:lang/>
        </w:rPr>
        <w:t xml:space="preserve">The AP Spanish Literature and Culture Exam assesses your proficiencies across a range of modes of communication—with special attention to the interpretive and presentational modes of communication—and will ask you to reflect on the many voices and cultures included in a rich and diverse body of literature written in Spanish. </w:t>
      </w:r>
    </w:p>
    <w:p w:rsidR="0019713C" w:rsidRPr="0019713C" w:rsidRDefault="0019713C" w:rsidP="0019713C">
      <w:pPr>
        <w:spacing w:line="240" w:lineRule="auto"/>
        <w:rPr>
          <w:rFonts w:ascii="Verdana" w:eastAsia="Times New Roman" w:hAnsi="Verdana" w:cs="Times New Roman"/>
          <w:b/>
          <w:color w:val="000000"/>
          <w:sz w:val="24"/>
          <w:szCs w:val="24"/>
          <w:lang/>
        </w:rPr>
      </w:pPr>
      <w:r w:rsidRPr="0019713C">
        <w:rPr>
          <w:rFonts w:ascii="Verdana" w:eastAsia="Times New Roman" w:hAnsi="Verdana" w:cs="Times New Roman"/>
          <w:b/>
          <w:color w:val="000000"/>
          <w:sz w:val="24"/>
          <w:szCs w:val="24"/>
          <w:lang/>
        </w:rPr>
        <w:t xml:space="preserve">The exam is 3 hours long and includes both an 80-minute multiple-choice section and a 100-minute free-response section. The multiple-choice section accounts for half of the exam grade, and the free-response section accounts for the other half. </w:t>
      </w:r>
    </w:p>
    <w:p w:rsidR="0019713C" w:rsidRPr="0019713C" w:rsidRDefault="0019713C" w:rsidP="0019713C">
      <w:pPr>
        <w:spacing w:after="0" w:line="240" w:lineRule="auto"/>
        <w:outlineLvl w:val="3"/>
        <w:rPr>
          <w:rFonts w:ascii="Verdana" w:eastAsia="Times New Roman" w:hAnsi="Verdana" w:cs="Times New Roman"/>
          <w:b/>
          <w:bCs/>
          <w:color w:val="0F70BF"/>
          <w:sz w:val="24"/>
          <w:szCs w:val="24"/>
          <w:lang/>
        </w:rPr>
      </w:pPr>
      <w:r w:rsidRPr="0019713C">
        <w:rPr>
          <w:rFonts w:ascii="Verdana" w:eastAsia="Times New Roman" w:hAnsi="Verdana" w:cs="Times New Roman"/>
          <w:b/>
          <w:bCs/>
          <w:color w:val="0F70BF"/>
          <w:sz w:val="24"/>
          <w:szCs w:val="24"/>
          <w:lang/>
        </w:rPr>
        <w:t>Multiple-Choice Section</w:t>
      </w:r>
    </w:p>
    <w:p w:rsidR="0019713C" w:rsidRPr="0019713C" w:rsidRDefault="0019713C" w:rsidP="0019713C">
      <w:pPr>
        <w:spacing w:line="240" w:lineRule="auto"/>
        <w:rPr>
          <w:rFonts w:ascii="Verdana" w:eastAsia="Times New Roman" w:hAnsi="Verdana" w:cs="Times New Roman"/>
          <w:b/>
          <w:color w:val="000000"/>
          <w:sz w:val="24"/>
          <w:szCs w:val="24"/>
          <w:lang/>
        </w:rPr>
      </w:pPr>
      <w:r w:rsidRPr="0019713C">
        <w:rPr>
          <w:rFonts w:ascii="Verdana" w:eastAsia="Times New Roman" w:hAnsi="Verdana" w:cs="Times New Roman"/>
          <w:b/>
          <w:bCs/>
          <w:color w:val="000000"/>
          <w:sz w:val="24"/>
          <w:szCs w:val="24"/>
          <w:lang/>
        </w:rPr>
        <w:t xml:space="preserve">Section I, Part </w:t>
      </w:r>
      <w:proofErr w:type="gramStart"/>
      <w:r w:rsidRPr="0019713C">
        <w:rPr>
          <w:rFonts w:ascii="Verdana" w:eastAsia="Times New Roman" w:hAnsi="Verdana" w:cs="Times New Roman"/>
          <w:b/>
          <w:bCs/>
          <w:color w:val="000000"/>
          <w:sz w:val="24"/>
          <w:szCs w:val="24"/>
          <w:lang/>
        </w:rPr>
        <w:t>A</w:t>
      </w:r>
      <w:proofErr w:type="gramEnd"/>
      <w:r w:rsidRPr="0019713C">
        <w:rPr>
          <w:rFonts w:ascii="Verdana" w:eastAsia="Times New Roman" w:hAnsi="Verdana" w:cs="Times New Roman"/>
          <w:b/>
          <w:color w:val="000000"/>
          <w:sz w:val="24"/>
          <w:szCs w:val="24"/>
          <w:lang/>
        </w:rPr>
        <w:t xml:space="preserve"> (Interpretive Listening) contains 15 questions in three sets that are based on authentic audio texts related to course content. The audio texts include an excerpt from an interview with an author, a recited poem that is not on the required reading list, and a brief presentation on a literary topic related to course content. You will have time to skim the questions for each set before listening to the audio. The interview and presentation will be played once; the recited poem will be played twice. </w:t>
      </w:r>
    </w:p>
    <w:p w:rsidR="0019713C" w:rsidRPr="0019713C" w:rsidRDefault="0019713C" w:rsidP="0019713C">
      <w:pPr>
        <w:spacing w:line="240" w:lineRule="auto"/>
        <w:rPr>
          <w:rFonts w:ascii="Verdana" w:eastAsia="Times New Roman" w:hAnsi="Verdana" w:cs="Times New Roman"/>
          <w:b/>
          <w:color w:val="000000"/>
          <w:sz w:val="24"/>
          <w:szCs w:val="24"/>
          <w:lang/>
        </w:rPr>
      </w:pPr>
      <w:r w:rsidRPr="0019713C">
        <w:rPr>
          <w:rFonts w:ascii="Verdana" w:eastAsia="Times New Roman" w:hAnsi="Verdana" w:cs="Times New Roman"/>
          <w:b/>
          <w:bCs/>
          <w:color w:val="000000"/>
          <w:sz w:val="24"/>
          <w:szCs w:val="24"/>
          <w:lang/>
        </w:rPr>
        <w:t>Section I, Part B</w:t>
      </w:r>
      <w:r w:rsidRPr="0019713C">
        <w:rPr>
          <w:rFonts w:ascii="Verdana" w:eastAsia="Times New Roman" w:hAnsi="Verdana" w:cs="Times New Roman"/>
          <w:b/>
          <w:color w:val="000000"/>
          <w:sz w:val="24"/>
          <w:szCs w:val="24"/>
          <w:lang/>
        </w:rPr>
        <w:t xml:space="preserve"> (Reading Analysis) </w:t>
      </w:r>
      <w:proofErr w:type="gramStart"/>
      <w:r w:rsidRPr="0019713C">
        <w:rPr>
          <w:rFonts w:ascii="Verdana" w:eastAsia="Times New Roman" w:hAnsi="Verdana" w:cs="Times New Roman"/>
          <w:b/>
          <w:color w:val="000000"/>
          <w:sz w:val="24"/>
          <w:szCs w:val="24"/>
          <w:lang/>
        </w:rPr>
        <w:t>contains</w:t>
      </w:r>
      <w:proofErr w:type="gramEnd"/>
      <w:r w:rsidRPr="0019713C">
        <w:rPr>
          <w:rFonts w:ascii="Verdana" w:eastAsia="Times New Roman" w:hAnsi="Verdana" w:cs="Times New Roman"/>
          <w:b/>
          <w:color w:val="000000"/>
          <w:sz w:val="24"/>
          <w:szCs w:val="24"/>
          <w:lang/>
        </w:rPr>
        <w:t xml:space="preserve"> 50 questions in six sets that are based on literary readings representing a variety of genres, periods, and places in the Spanish-speaking world. The literary readings include works from the required reading list, works that are not on the list, and one passage of literary criticism regarding a work or author from the list. One set in Section I, Part B contains two passages that are related by theme—one of those passages is taken from the required reading list. </w:t>
      </w:r>
    </w:p>
    <w:p w:rsidR="0019713C" w:rsidRPr="0019713C" w:rsidRDefault="0019713C" w:rsidP="0019713C">
      <w:pPr>
        <w:spacing w:after="0" w:line="240" w:lineRule="auto"/>
        <w:outlineLvl w:val="3"/>
        <w:rPr>
          <w:rFonts w:ascii="Verdana" w:eastAsia="Times New Roman" w:hAnsi="Verdana" w:cs="Times New Roman"/>
          <w:b/>
          <w:bCs/>
          <w:color w:val="0F70BF"/>
          <w:sz w:val="24"/>
          <w:szCs w:val="24"/>
          <w:lang/>
        </w:rPr>
      </w:pPr>
      <w:r w:rsidRPr="0019713C">
        <w:rPr>
          <w:rFonts w:ascii="Verdana" w:eastAsia="Times New Roman" w:hAnsi="Verdana" w:cs="Times New Roman"/>
          <w:b/>
          <w:bCs/>
          <w:color w:val="0F70BF"/>
          <w:sz w:val="24"/>
          <w:szCs w:val="24"/>
          <w:lang/>
        </w:rPr>
        <w:t>Free-Response Section</w:t>
      </w:r>
    </w:p>
    <w:p w:rsidR="0019713C" w:rsidRPr="0019713C" w:rsidRDefault="0019713C" w:rsidP="0019713C">
      <w:pPr>
        <w:spacing w:line="240" w:lineRule="auto"/>
        <w:rPr>
          <w:rFonts w:ascii="Verdana" w:eastAsia="Times New Roman" w:hAnsi="Verdana" w:cs="Times New Roman"/>
          <w:b/>
          <w:color w:val="000000"/>
          <w:sz w:val="24"/>
          <w:szCs w:val="24"/>
          <w:lang/>
        </w:rPr>
      </w:pPr>
      <w:r w:rsidRPr="0019713C">
        <w:rPr>
          <w:rFonts w:ascii="Verdana" w:eastAsia="Times New Roman" w:hAnsi="Verdana" w:cs="Times New Roman"/>
          <w:b/>
          <w:bCs/>
          <w:color w:val="000000"/>
          <w:sz w:val="24"/>
          <w:szCs w:val="24"/>
          <w:lang/>
        </w:rPr>
        <w:t>Section II</w:t>
      </w:r>
      <w:r w:rsidRPr="0019713C">
        <w:rPr>
          <w:rFonts w:ascii="Verdana" w:eastAsia="Times New Roman" w:hAnsi="Verdana" w:cs="Times New Roman"/>
          <w:b/>
          <w:color w:val="000000"/>
          <w:sz w:val="24"/>
          <w:szCs w:val="24"/>
          <w:lang/>
        </w:rPr>
        <w:t xml:space="preserve"> assesses your ability to analyze structural and rhetorical features of literary texts as well as the significance of the contexts in which the texts were written. You are also assessed in the presentational mode of communication by writing comprehensible text analyses that demonstrate your understanding of course content. </w:t>
      </w: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Default="0019713C" w:rsidP="0019713C">
      <w:pPr>
        <w:spacing w:after="0" w:line="240" w:lineRule="auto"/>
        <w:outlineLvl w:val="2"/>
        <w:rPr>
          <w:rFonts w:ascii="Verdana" w:eastAsia="Times New Roman" w:hAnsi="Verdana" w:cs="Times New Roman"/>
          <w:b/>
          <w:bCs/>
          <w:color w:val="0F70BF"/>
          <w:sz w:val="28"/>
          <w:szCs w:val="28"/>
          <w:lang/>
        </w:rPr>
      </w:pPr>
    </w:p>
    <w:p w:rsidR="0019713C" w:rsidRPr="0019713C" w:rsidRDefault="0019713C" w:rsidP="0019713C">
      <w:pPr>
        <w:spacing w:after="0" w:line="240" w:lineRule="auto"/>
        <w:jc w:val="center"/>
        <w:outlineLvl w:val="2"/>
        <w:rPr>
          <w:rFonts w:ascii="Verdana" w:eastAsia="Times New Roman" w:hAnsi="Verdana" w:cs="Times New Roman"/>
          <w:b/>
          <w:bCs/>
          <w:color w:val="0F70BF"/>
          <w:sz w:val="32"/>
          <w:szCs w:val="32"/>
          <w:lang/>
        </w:rPr>
      </w:pPr>
      <w:r w:rsidRPr="0019713C">
        <w:rPr>
          <w:rFonts w:ascii="Verdana" w:eastAsia="Times New Roman" w:hAnsi="Verdana" w:cs="Times New Roman"/>
          <w:b/>
          <w:bCs/>
          <w:color w:val="0F70BF"/>
          <w:sz w:val="32"/>
          <w:szCs w:val="32"/>
          <w:lang/>
        </w:rPr>
        <w:t>AP Spanish Literature and Culture Exam Format</w:t>
      </w:r>
    </w:p>
    <w:p w:rsidR="0019713C" w:rsidRPr="0019713C" w:rsidRDefault="0019713C" w:rsidP="0019713C">
      <w:pPr>
        <w:spacing w:after="0" w:line="240" w:lineRule="auto"/>
        <w:rPr>
          <w:rFonts w:ascii="Verdana" w:eastAsia="Times New Roman" w:hAnsi="Verdana" w:cs="Times New Roman"/>
          <w:color w:val="000000"/>
          <w:sz w:val="24"/>
          <w:szCs w:val="24"/>
          <w:lang/>
        </w:rPr>
      </w:pPr>
    </w:p>
    <w:tbl>
      <w:tblPr>
        <w:tblW w:w="0" w:type="auto"/>
        <w:tblBorders>
          <w:bottom w:val="single" w:sz="8" w:space="0" w:color="CCCCCC"/>
          <w:right w:val="single" w:sz="8" w:space="0" w:color="CCCCCC"/>
        </w:tblBorders>
        <w:tblCellMar>
          <w:top w:w="45" w:type="dxa"/>
          <w:left w:w="45" w:type="dxa"/>
          <w:bottom w:w="45" w:type="dxa"/>
          <w:right w:w="45" w:type="dxa"/>
        </w:tblCellMar>
        <w:tblLook w:val="04A0"/>
      </w:tblPr>
      <w:tblGrid>
        <w:gridCol w:w="984"/>
        <w:gridCol w:w="3346"/>
        <w:gridCol w:w="1435"/>
        <w:gridCol w:w="1150"/>
        <w:gridCol w:w="2645"/>
      </w:tblGrid>
      <w:tr w:rsidR="0019713C" w:rsidRPr="0019713C" w:rsidTr="0019713C">
        <w:tc>
          <w:tcPr>
            <w:tcW w:w="2500" w:type="pct"/>
            <w:gridSpan w:val="2"/>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Section</w:t>
            </w:r>
          </w:p>
        </w:tc>
        <w:tc>
          <w:tcPr>
            <w:tcW w:w="500" w:type="pct"/>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Number of Questions</w:t>
            </w:r>
            <w:r w:rsidRPr="0019713C">
              <w:rPr>
                <w:rFonts w:ascii="Verdana" w:eastAsia="Times New Roman" w:hAnsi="Verdana" w:cs="Times New Roman"/>
                <w:color w:val="000000"/>
              </w:rPr>
              <w:t xml:space="preserve"> </w:t>
            </w:r>
          </w:p>
        </w:tc>
        <w:tc>
          <w:tcPr>
            <w:tcW w:w="500" w:type="pct"/>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Percent of Final Score</w:t>
            </w:r>
          </w:p>
        </w:tc>
        <w:tc>
          <w:tcPr>
            <w:tcW w:w="1500" w:type="pct"/>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Time</w:t>
            </w:r>
          </w:p>
        </w:tc>
      </w:tr>
      <w:tr w:rsidR="0019713C" w:rsidRPr="0019713C" w:rsidTr="0019713C">
        <w:tc>
          <w:tcPr>
            <w:tcW w:w="0" w:type="auto"/>
            <w:gridSpan w:val="2"/>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Section I: Multiple Choice</w:t>
            </w:r>
          </w:p>
        </w:tc>
        <w:tc>
          <w:tcPr>
            <w:tcW w:w="0" w:type="auto"/>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p>
        </w:tc>
        <w:tc>
          <w:tcPr>
            <w:tcW w:w="0" w:type="auto"/>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50%</w:t>
            </w:r>
          </w:p>
        </w:tc>
        <w:tc>
          <w:tcPr>
            <w:tcW w:w="0" w:type="auto"/>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Approx. 80 minutes</w:t>
            </w:r>
          </w:p>
        </w:tc>
      </w:tr>
      <w:tr w:rsidR="0019713C" w:rsidRPr="0019713C" w:rsidTr="0019713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Part A</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Interpretive Listening</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15 questions</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10%</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Approx. 20 minutes</w:t>
            </w:r>
          </w:p>
        </w:tc>
      </w:tr>
      <w:tr w:rsidR="0019713C" w:rsidRPr="0019713C" w:rsidTr="0019713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Part B</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Reading Analysis</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50 questions</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40%</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Approx. 60 minutes</w:t>
            </w:r>
          </w:p>
        </w:tc>
      </w:tr>
      <w:tr w:rsidR="0019713C" w:rsidRPr="0019713C" w:rsidTr="0019713C">
        <w:tc>
          <w:tcPr>
            <w:tcW w:w="0" w:type="auto"/>
            <w:gridSpan w:val="4"/>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Section II: Free Response</w:t>
            </w:r>
          </w:p>
        </w:tc>
        <w:tc>
          <w:tcPr>
            <w:tcW w:w="0" w:type="auto"/>
            <w:tcBorders>
              <w:top w:val="single" w:sz="8" w:space="0" w:color="CCCCCC"/>
              <w:left w:val="single" w:sz="8" w:space="0" w:color="CCCCCC"/>
            </w:tcBorders>
            <w:shd w:val="clear" w:color="auto" w:fill="F6F6F6"/>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b/>
                <w:bCs/>
                <w:color w:val="000000"/>
              </w:rPr>
              <w:t xml:space="preserve">Approx. 100 minutes </w:t>
            </w:r>
          </w:p>
        </w:tc>
      </w:tr>
      <w:tr w:rsidR="0019713C" w:rsidRPr="0019713C" w:rsidTr="0019713C">
        <w:tc>
          <w:tcPr>
            <w:tcW w:w="0" w:type="auto"/>
            <w:gridSpan w:val="2"/>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Short Answers: Text Explanation</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 prompt</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7.5%</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 xml:space="preserve">Suggested time: </w:t>
            </w:r>
            <w:r w:rsidRPr="0019713C">
              <w:rPr>
                <w:rFonts w:ascii="Verdana" w:eastAsia="Times New Roman" w:hAnsi="Verdana" w:cs="Times New Roman"/>
                <w:color w:val="000000"/>
              </w:rPr>
              <w:br/>
              <w:t>15 minutes</w:t>
            </w:r>
          </w:p>
        </w:tc>
      </w:tr>
      <w:tr w:rsidR="0019713C" w:rsidRPr="0019713C" w:rsidTr="0019713C">
        <w:tc>
          <w:tcPr>
            <w:tcW w:w="0" w:type="auto"/>
            <w:gridSpan w:val="2"/>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Short Answers: Text and Art Comparison</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 prompt</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7.5%</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 xml:space="preserve">Suggested time: </w:t>
            </w:r>
            <w:r w:rsidRPr="0019713C">
              <w:rPr>
                <w:rFonts w:ascii="Verdana" w:eastAsia="Times New Roman" w:hAnsi="Verdana" w:cs="Times New Roman"/>
                <w:color w:val="000000"/>
              </w:rPr>
              <w:br/>
              <w:t>15 minutes</w:t>
            </w:r>
          </w:p>
        </w:tc>
      </w:tr>
      <w:tr w:rsidR="0019713C" w:rsidRPr="0019713C" w:rsidTr="0019713C">
        <w:tc>
          <w:tcPr>
            <w:tcW w:w="0" w:type="auto"/>
            <w:gridSpan w:val="2"/>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Essay: Analysis of Single Text</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 prompt</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17.5%</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 xml:space="preserve">Suggested time: </w:t>
            </w:r>
            <w:r w:rsidRPr="0019713C">
              <w:rPr>
                <w:rFonts w:ascii="Verdana" w:eastAsia="Times New Roman" w:hAnsi="Verdana" w:cs="Times New Roman"/>
                <w:color w:val="000000"/>
              </w:rPr>
              <w:br/>
              <w:t>35 minutes</w:t>
            </w:r>
          </w:p>
        </w:tc>
      </w:tr>
      <w:tr w:rsidR="0019713C" w:rsidRPr="0019713C" w:rsidTr="0019713C">
        <w:tc>
          <w:tcPr>
            <w:tcW w:w="0" w:type="auto"/>
            <w:gridSpan w:val="2"/>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Essay: Text Comparison</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 prompt</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17.5%</w:t>
            </w:r>
          </w:p>
        </w:tc>
        <w:tc>
          <w:tcPr>
            <w:tcW w:w="0" w:type="auto"/>
            <w:tcBorders>
              <w:top w:val="single" w:sz="8" w:space="0" w:color="CCCCCC"/>
              <w:left w:val="single" w:sz="8" w:space="0" w:color="CCCCCC"/>
            </w:tcBorders>
            <w:shd w:val="clear" w:color="auto" w:fill="FFFFFF"/>
            <w:tcMar>
              <w:top w:w="100" w:type="dxa"/>
              <w:left w:w="100" w:type="dxa"/>
              <w:bottom w:w="100" w:type="dxa"/>
              <w:right w:w="100" w:type="dxa"/>
            </w:tcMar>
            <w:hideMark/>
          </w:tcPr>
          <w:p w:rsidR="0019713C" w:rsidRPr="0019713C" w:rsidRDefault="0019713C" w:rsidP="0019713C">
            <w:pPr>
              <w:spacing w:after="0" w:line="240" w:lineRule="auto"/>
              <w:jc w:val="center"/>
              <w:rPr>
                <w:rFonts w:ascii="Verdana" w:eastAsia="Times New Roman" w:hAnsi="Verdana" w:cs="Times New Roman"/>
                <w:color w:val="000000"/>
              </w:rPr>
            </w:pPr>
            <w:r w:rsidRPr="0019713C">
              <w:rPr>
                <w:rFonts w:ascii="Verdana" w:eastAsia="Times New Roman" w:hAnsi="Verdana" w:cs="Times New Roman"/>
                <w:color w:val="000000"/>
              </w:rPr>
              <w:t xml:space="preserve">Suggested time: </w:t>
            </w:r>
            <w:r w:rsidRPr="0019713C">
              <w:rPr>
                <w:rFonts w:ascii="Verdana" w:eastAsia="Times New Roman" w:hAnsi="Verdana" w:cs="Times New Roman"/>
                <w:color w:val="000000"/>
              </w:rPr>
              <w:br/>
              <w:t>35 minutes</w:t>
            </w:r>
          </w:p>
        </w:tc>
      </w:tr>
    </w:tbl>
    <w:p w:rsidR="0019713C" w:rsidRPr="0019713C" w:rsidRDefault="0019713C" w:rsidP="0019713C">
      <w:pPr>
        <w:spacing w:line="240" w:lineRule="auto"/>
        <w:rPr>
          <w:rFonts w:ascii="Verdana" w:eastAsia="Times New Roman" w:hAnsi="Verdana" w:cs="Times New Roman"/>
          <w:vanish/>
          <w:color w:val="000000"/>
          <w:sz w:val="24"/>
          <w:szCs w:val="24"/>
          <w:lang/>
        </w:rPr>
      </w:pPr>
      <w:hyperlink r:id="rId4" w:anchor="top" w:history="1">
        <w:r w:rsidRPr="0019713C">
          <w:rPr>
            <w:rFonts w:ascii="Verdana" w:eastAsia="Times New Roman" w:hAnsi="Verdana" w:cs="Times New Roman"/>
            <w:vanish/>
            <w:color w:val="003366"/>
            <w:sz w:val="24"/>
            <w:szCs w:val="24"/>
            <w:u w:val="single"/>
            <w:lang/>
          </w:rPr>
          <w:t>Back to top</w:t>
        </w:r>
      </w:hyperlink>
    </w:p>
    <w:p w:rsidR="004E3BF2" w:rsidRDefault="0019713C" w:rsidP="0019713C">
      <w:r>
        <w:rPr>
          <w:rFonts w:ascii="Verdana" w:eastAsia="Times New Roman" w:hAnsi="Verdana" w:cs="Times New Roman"/>
          <w:noProof/>
          <w:color w:val="000000"/>
          <w:sz w:val="24"/>
          <w:szCs w:val="24"/>
        </w:rPr>
        <w:drawing>
          <wp:inline distT="0" distB="0" distL="0" distR="0">
            <wp:extent cx="7137400" cy="12700"/>
            <wp:effectExtent l="0" t="0" r="0" b="0"/>
            <wp:docPr id="1" name="Picture 1" descr="http://www.collegeboard.com/common/shared/images/null_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legeboard.com/common/shared/images/null_1x1.gif"/>
                    <pic:cNvPicPr>
                      <a:picLocks noChangeAspect="1" noChangeArrowheads="1"/>
                    </pic:cNvPicPr>
                  </pic:nvPicPr>
                  <pic:blipFill>
                    <a:blip r:embed="rId5"/>
                    <a:srcRect/>
                    <a:stretch>
                      <a:fillRect/>
                    </a:stretch>
                  </pic:blipFill>
                  <pic:spPr bwMode="auto">
                    <a:xfrm>
                      <a:off x="0" y="0"/>
                      <a:ext cx="7137400" cy="12700"/>
                    </a:xfrm>
                    <a:prstGeom prst="rect">
                      <a:avLst/>
                    </a:prstGeom>
                    <a:noFill/>
                    <a:ln w="9525">
                      <a:noFill/>
                      <a:miter lim="800000"/>
                      <a:headEnd/>
                      <a:tailEnd/>
                    </a:ln>
                  </pic:spPr>
                </pic:pic>
              </a:graphicData>
            </a:graphic>
          </wp:inline>
        </w:drawing>
      </w:r>
    </w:p>
    <w:sectPr w:rsidR="004E3BF2" w:rsidSect="004E3B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9713C"/>
    <w:rsid w:val="0019713C"/>
    <w:rsid w:val="004E3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F2"/>
  </w:style>
  <w:style w:type="paragraph" w:styleId="Heading1">
    <w:name w:val="heading 1"/>
    <w:basedOn w:val="Normal"/>
    <w:link w:val="Heading1Char"/>
    <w:uiPriority w:val="9"/>
    <w:qFormat/>
    <w:rsid w:val="0019713C"/>
    <w:pPr>
      <w:spacing w:after="0" w:line="240" w:lineRule="auto"/>
      <w:outlineLvl w:val="0"/>
    </w:pPr>
    <w:rPr>
      <w:rFonts w:ascii="Times New Roman" w:eastAsia="Times New Roman" w:hAnsi="Times New Roman" w:cs="Times New Roman"/>
      <w:color w:val="0F70BF"/>
      <w:kern w:val="36"/>
      <w:sz w:val="36"/>
      <w:szCs w:val="36"/>
    </w:rPr>
  </w:style>
  <w:style w:type="paragraph" w:styleId="Heading3">
    <w:name w:val="heading 3"/>
    <w:basedOn w:val="Normal"/>
    <w:link w:val="Heading3Char"/>
    <w:uiPriority w:val="9"/>
    <w:qFormat/>
    <w:rsid w:val="0019713C"/>
    <w:pPr>
      <w:spacing w:after="0" w:line="240" w:lineRule="auto"/>
      <w:outlineLvl w:val="2"/>
    </w:pPr>
    <w:rPr>
      <w:rFonts w:ascii="Times New Roman" w:eastAsia="Times New Roman" w:hAnsi="Times New Roman" w:cs="Times New Roman"/>
      <w:b/>
      <w:bCs/>
      <w:color w:val="0F70BF"/>
      <w:sz w:val="28"/>
      <w:szCs w:val="28"/>
    </w:rPr>
  </w:style>
  <w:style w:type="paragraph" w:styleId="Heading4">
    <w:name w:val="heading 4"/>
    <w:basedOn w:val="Normal"/>
    <w:link w:val="Heading4Char"/>
    <w:uiPriority w:val="9"/>
    <w:qFormat/>
    <w:rsid w:val="0019713C"/>
    <w:pPr>
      <w:spacing w:after="0" w:line="240" w:lineRule="auto"/>
      <w:outlineLvl w:val="3"/>
    </w:pPr>
    <w:rPr>
      <w:rFonts w:ascii="Times New Roman" w:eastAsia="Times New Roman" w:hAnsi="Times New Roman" w:cs="Times New Roman"/>
      <w:b/>
      <w:bCs/>
      <w:color w:val="0F70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3C"/>
    <w:rPr>
      <w:rFonts w:ascii="Times New Roman" w:eastAsia="Times New Roman" w:hAnsi="Times New Roman" w:cs="Times New Roman"/>
      <w:color w:val="0F70BF"/>
      <w:kern w:val="36"/>
      <w:sz w:val="36"/>
      <w:szCs w:val="36"/>
    </w:rPr>
  </w:style>
  <w:style w:type="character" w:customStyle="1" w:styleId="Heading3Char">
    <w:name w:val="Heading 3 Char"/>
    <w:basedOn w:val="DefaultParagraphFont"/>
    <w:link w:val="Heading3"/>
    <w:uiPriority w:val="9"/>
    <w:rsid w:val="0019713C"/>
    <w:rPr>
      <w:rFonts w:ascii="Times New Roman" w:eastAsia="Times New Roman" w:hAnsi="Times New Roman" w:cs="Times New Roman"/>
      <w:b/>
      <w:bCs/>
      <w:color w:val="0F70BF"/>
      <w:sz w:val="28"/>
      <w:szCs w:val="28"/>
    </w:rPr>
  </w:style>
  <w:style w:type="character" w:customStyle="1" w:styleId="Heading4Char">
    <w:name w:val="Heading 4 Char"/>
    <w:basedOn w:val="DefaultParagraphFont"/>
    <w:link w:val="Heading4"/>
    <w:uiPriority w:val="9"/>
    <w:rsid w:val="0019713C"/>
    <w:rPr>
      <w:rFonts w:ascii="Times New Roman" w:eastAsia="Times New Roman" w:hAnsi="Times New Roman" w:cs="Times New Roman"/>
      <w:b/>
      <w:bCs/>
      <w:color w:val="0F70BF"/>
      <w:sz w:val="24"/>
      <w:szCs w:val="24"/>
    </w:rPr>
  </w:style>
  <w:style w:type="character" w:styleId="Hyperlink">
    <w:name w:val="Hyperlink"/>
    <w:basedOn w:val="DefaultParagraphFont"/>
    <w:uiPriority w:val="99"/>
    <w:semiHidden/>
    <w:unhideWhenUsed/>
    <w:rsid w:val="0019713C"/>
    <w:rPr>
      <w:color w:val="003366"/>
      <w:u w:val="single"/>
    </w:rPr>
  </w:style>
  <w:style w:type="paragraph" w:styleId="NormalWeb">
    <w:name w:val="Normal (Web)"/>
    <w:basedOn w:val="Normal"/>
    <w:uiPriority w:val="99"/>
    <w:semiHidden/>
    <w:unhideWhenUsed/>
    <w:rsid w:val="0019713C"/>
    <w:pPr>
      <w:spacing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13C"/>
    <w:rPr>
      <w:b/>
      <w:bCs/>
    </w:rPr>
  </w:style>
  <w:style w:type="paragraph" w:styleId="BalloonText">
    <w:name w:val="Balloon Text"/>
    <w:basedOn w:val="Normal"/>
    <w:link w:val="BalloonTextChar"/>
    <w:uiPriority w:val="99"/>
    <w:semiHidden/>
    <w:unhideWhenUsed/>
    <w:rsid w:val="00197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1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385006">
      <w:bodyDiv w:val="1"/>
      <w:marLeft w:val="0"/>
      <w:marRight w:val="0"/>
      <w:marTop w:val="0"/>
      <w:marBottom w:val="0"/>
      <w:divBdr>
        <w:top w:val="none" w:sz="0" w:space="0" w:color="auto"/>
        <w:left w:val="none" w:sz="0" w:space="0" w:color="auto"/>
        <w:bottom w:val="none" w:sz="0" w:space="0" w:color="auto"/>
        <w:right w:val="none" w:sz="0" w:space="0" w:color="auto"/>
      </w:divBdr>
      <w:divsChild>
        <w:div w:id="1024015594">
          <w:marLeft w:val="4280"/>
          <w:marRight w:val="0"/>
          <w:marTop w:val="0"/>
          <w:marBottom w:val="0"/>
          <w:divBdr>
            <w:top w:val="none" w:sz="0" w:space="0" w:color="auto"/>
            <w:left w:val="none" w:sz="0" w:space="0" w:color="auto"/>
            <w:bottom w:val="none" w:sz="0" w:space="0" w:color="auto"/>
            <w:right w:val="none" w:sz="0" w:space="0" w:color="auto"/>
          </w:divBdr>
          <w:divsChild>
            <w:div w:id="889149775">
              <w:marLeft w:val="0"/>
              <w:marRight w:val="0"/>
              <w:marTop w:val="0"/>
              <w:marBottom w:val="0"/>
              <w:divBdr>
                <w:top w:val="none" w:sz="0" w:space="0" w:color="auto"/>
                <w:left w:val="none" w:sz="0" w:space="0" w:color="auto"/>
                <w:bottom w:val="none" w:sz="0" w:space="0" w:color="auto"/>
                <w:right w:val="none" w:sz="0" w:space="0" w:color="auto"/>
              </w:divBdr>
              <w:divsChild>
                <w:div w:id="20415911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00890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collegeboard.com/student/testing/ap/spanish_lit/exam.html?span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2355</Characters>
  <Application>Microsoft Office Word</Application>
  <DocSecurity>0</DocSecurity>
  <Lines>19</Lines>
  <Paragraphs>5</Paragraphs>
  <ScaleCrop>false</ScaleCrop>
  <Company>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221162</dc:creator>
  <cp:keywords/>
  <dc:description/>
  <cp:lastModifiedBy>221162</cp:lastModifiedBy>
  <cp:revision>1</cp:revision>
  <cp:lastPrinted>2013-02-12T16:33:00Z</cp:lastPrinted>
  <dcterms:created xsi:type="dcterms:W3CDTF">2013-02-12T16:32:00Z</dcterms:created>
  <dcterms:modified xsi:type="dcterms:W3CDTF">2013-02-12T16:34:00Z</dcterms:modified>
</cp:coreProperties>
</file>